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2" w:afterLines="2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spacing w:after="62" w:afterLines="20"/>
        <w:ind w:firstLine="321" w:firstLineChars="10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2019年校级大学生创新项目验收结果</w:t>
      </w:r>
    </w:p>
    <w:tbl>
      <w:tblPr>
        <w:tblStyle w:val="2"/>
        <w:tblpPr w:leftFromText="180" w:rightFromText="180" w:vertAnchor="text" w:horzAnchor="page" w:tblpX="741" w:tblpY="431"/>
        <w:tblOverlap w:val="never"/>
        <w:tblW w:w="15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20"/>
        <w:gridCol w:w="4937"/>
        <w:gridCol w:w="1800"/>
        <w:gridCol w:w="1332"/>
        <w:gridCol w:w="2075"/>
        <w:gridCol w:w="2130"/>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blHeader/>
        </w:trPr>
        <w:tc>
          <w:tcPr>
            <w:tcW w:w="648" w:type="dxa"/>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18"/>
                <w:szCs w:val="18"/>
                <w:u w:val="none"/>
                <w:lang w:val="en-US" w:eastAsia="zh-CN" w:bidi="ar"/>
              </w:rPr>
            </w:pPr>
            <w:r>
              <w:rPr>
                <w:rFonts w:hint="eastAsia" w:ascii="Times New Roman" w:hAnsi="Times New Roman" w:eastAsia="宋体" w:cs="Times New Roman"/>
                <w:b/>
                <w:bCs/>
                <w:i w:val="0"/>
                <w:color w:val="000000"/>
                <w:kern w:val="0"/>
                <w:sz w:val="18"/>
                <w:szCs w:val="18"/>
                <w:u w:val="none"/>
                <w:lang w:val="en-US" w:eastAsia="zh-CN" w:bidi="ar"/>
              </w:rPr>
              <w:t>序号</w:t>
            </w:r>
          </w:p>
        </w:tc>
        <w:tc>
          <w:tcPr>
            <w:tcW w:w="1620" w:type="dxa"/>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18"/>
                <w:szCs w:val="18"/>
                <w:u w:val="none"/>
                <w:lang w:val="en-US" w:eastAsia="zh-CN" w:bidi="ar"/>
              </w:rPr>
            </w:pPr>
            <w:r>
              <w:rPr>
                <w:rFonts w:hint="eastAsia" w:ascii="Times New Roman" w:hAnsi="Times New Roman" w:eastAsia="宋体" w:cs="Times New Roman"/>
                <w:b/>
                <w:bCs/>
                <w:i w:val="0"/>
                <w:color w:val="000000"/>
                <w:kern w:val="0"/>
                <w:sz w:val="18"/>
                <w:szCs w:val="18"/>
                <w:u w:val="none"/>
                <w:lang w:val="en-US" w:eastAsia="zh-CN" w:bidi="ar"/>
              </w:rPr>
              <w:t>学院</w:t>
            </w:r>
          </w:p>
        </w:tc>
        <w:tc>
          <w:tcPr>
            <w:tcW w:w="4937" w:type="dxa"/>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18"/>
                <w:szCs w:val="18"/>
                <w:u w:val="none"/>
                <w:lang w:val="en-US" w:eastAsia="zh-CN" w:bidi="ar"/>
              </w:rPr>
            </w:pPr>
            <w:r>
              <w:rPr>
                <w:rFonts w:hint="eastAsia" w:ascii="Times New Roman" w:hAnsi="Times New Roman" w:eastAsia="宋体" w:cs="Times New Roman"/>
                <w:b/>
                <w:bCs/>
                <w:i w:val="0"/>
                <w:color w:val="000000"/>
                <w:kern w:val="0"/>
                <w:sz w:val="18"/>
                <w:szCs w:val="18"/>
                <w:u w:val="none"/>
                <w:lang w:val="en-US" w:eastAsia="zh-CN" w:bidi="ar"/>
              </w:rPr>
              <w:t>项目名称</w:t>
            </w:r>
          </w:p>
        </w:tc>
        <w:tc>
          <w:tcPr>
            <w:tcW w:w="1800" w:type="dxa"/>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18"/>
                <w:szCs w:val="18"/>
                <w:u w:val="none"/>
                <w:lang w:val="en-US" w:eastAsia="zh-CN" w:bidi="ar"/>
              </w:rPr>
            </w:pPr>
            <w:r>
              <w:rPr>
                <w:rFonts w:hint="eastAsia" w:ascii="Times New Roman" w:hAnsi="Times New Roman" w:eastAsia="宋体" w:cs="Times New Roman"/>
                <w:b/>
                <w:bCs/>
                <w:i w:val="0"/>
                <w:color w:val="000000"/>
                <w:kern w:val="0"/>
                <w:sz w:val="18"/>
                <w:szCs w:val="18"/>
                <w:u w:val="none"/>
                <w:lang w:val="en-US" w:eastAsia="zh-CN" w:bidi="ar"/>
              </w:rPr>
              <w:t>负责人</w:t>
            </w:r>
          </w:p>
        </w:tc>
        <w:tc>
          <w:tcPr>
            <w:tcW w:w="1332" w:type="dxa"/>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18"/>
                <w:szCs w:val="18"/>
                <w:u w:val="none"/>
                <w:lang w:val="en-US" w:eastAsia="zh-CN" w:bidi="ar"/>
              </w:rPr>
            </w:pPr>
            <w:r>
              <w:rPr>
                <w:rFonts w:hint="eastAsia" w:ascii="Times New Roman" w:hAnsi="Times New Roman" w:eastAsia="宋体" w:cs="Times New Roman"/>
                <w:b/>
                <w:bCs/>
                <w:i w:val="0"/>
                <w:color w:val="000000"/>
                <w:kern w:val="0"/>
                <w:sz w:val="18"/>
                <w:szCs w:val="18"/>
                <w:u w:val="none"/>
                <w:lang w:val="en-US" w:eastAsia="zh-CN" w:bidi="ar"/>
              </w:rPr>
              <w:t>班级</w:t>
            </w:r>
          </w:p>
        </w:tc>
        <w:tc>
          <w:tcPr>
            <w:tcW w:w="2075" w:type="dxa"/>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18"/>
                <w:szCs w:val="18"/>
                <w:u w:val="none"/>
                <w:lang w:val="en-US" w:eastAsia="zh-CN" w:bidi="ar"/>
              </w:rPr>
            </w:pPr>
            <w:r>
              <w:rPr>
                <w:rFonts w:hint="eastAsia" w:ascii="Times New Roman" w:hAnsi="Times New Roman" w:eastAsia="宋体" w:cs="Times New Roman"/>
                <w:b/>
                <w:bCs/>
                <w:i w:val="0"/>
                <w:color w:val="000000"/>
                <w:kern w:val="0"/>
                <w:sz w:val="18"/>
                <w:szCs w:val="18"/>
                <w:u w:val="none"/>
                <w:lang w:val="en-US" w:eastAsia="zh-CN" w:bidi="ar"/>
              </w:rPr>
              <w:t>指导教师</w:t>
            </w:r>
          </w:p>
        </w:tc>
        <w:tc>
          <w:tcPr>
            <w:tcW w:w="2130" w:type="dxa"/>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18"/>
                <w:szCs w:val="18"/>
                <w:u w:val="none"/>
                <w:lang w:val="en-US" w:eastAsia="zh-CN" w:bidi="ar"/>
              </w:rPr>
            </w:pPr>
            <w:r>
              <w:rPr>
                <w:rFonts w:hint="eastAsia" w:ascii="Times New Roman" w:hAnsi="Times New Roman" w:eastAsia="宋体" w:cs="Times New Roman"/>
                <w:b/>
                <w:bCs/>
                <w:i w:val="0"/>
                <w:color w:val="000000"/>
                <w:kern w:val="0"/>
                <w:sz w:val="18"/>
                <w:szCs w:val="18"/>
                <w:u w:val="none"/>
                <w:lang w:val="en-US" w:eastAsia="zh-CN" w:bidi="ar"/>
              </w:rPr>
              <w:t>成果形式</w:t>
            </w:r>
          </w:p>
        </w:tc>
        <w:tc>
          <w:tcPr>
            <w:tcW w:w="1079" w:type="dxa"/>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18"/>
                <w:szCs w:val="18"/>
                <w:u w:val="none"/>
                <w:lang w:val="en-US" w:eastAsia="zh-CN" w:bidi="ar"/>
              </w:rPr>
            </w:pPr>
            <w:r>
              <w:rPr>
                <w:rFonts w:hint="eastAsia" w:ascii="Times New Roman" w:hAnsi="Times New Roman" w:eastAsia="宋体" w:cs="Times New Roman"/>
                <w:b/>
                <w:bCs/>
                <w:i w:val="0"/>
                <w:color w:val="000000"/>
                <w:kern w:val="0"/>
                <w:sz w:val="18"/>
                <w:szCs w:val="18"/>
                <w:u w:val="none"/>
                <w:lang w:val="en-US" w:eastAsia="zh-CN" w:bidi="ar"/>
              </w:rPr>
              <w:t>验收</w:t>
            </w:r>
          </w:p>
          <w:p>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18"/>
                <w:szCs w:val="18"/>
                <w:u w:val="none"/>
                <w:lang w:val="en-US" w:eastAsia="zh-CN" w:bidi="ar"/>
              </w:rPr>
            </w:pPr>
            <w:r>
              <w:rPr>
                <w:rFonts w:hint="eastAsia" w:ascii="Times New Roman" w:hAnsi="Times New Roman" w:eastAsia="宋体" w:cs="Times New Roman"/>
                <w:b/>
                <w:bCs/>
                <w:i w:val="0"/>
                <w:color w:val="000000"/>
                <w:kern w:val="0"/>
                <w:sz w:val="18"/>
                <w:szCs w:val="18"/>
                <w:u w:val="none"/>
                <w:lang w:val="en-US" w:eastAsia="zh-CN" w:bidi="ar"/>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农学院</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玉米宽膜种植模式探究</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孟令贻</w:t>
            </w: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农学172</w:t>
            </w:r>
          </w:p>
        </w:tc>
        <w:tc>
          <w:tcPr>
            <w:tcW w:w="20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唐江华</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报告、论文</w:t>
            </w: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农学院</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外来入侵害虫-欧洲甘蓝粉虱两种种群形态特征及生殖隔离程度研究研究</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李敬桦</w:t>
            </w: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植保162</w:t>
            </w:r>
          </w:p>
        </w:tc>
        <w:tc>
          <w:tcPr>
            <w:tcW w:w="20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马德英</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报告、论文</w:t>
            </w: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bookmarkStart w:id="0" w:name="OLE_LINK1"/>
            <w:r>
              <w:rPr>
                <w:rFonts w:hint="eastAsia" w:ascii="宋体" w:hAnsi="宋体" w:eastAsia="宋体" w:cs="宋体"/>
                <w:i w:val="0"/>
                <w:color w:val="000000"/>
                <w:kern w:val="0"/>
                <w:sz w:val="21"/>
                <w:szCs w:val="21"/>
                <w:u w:val="none"/>
                <w:lang w:val="en-US" w:eastAsia="zh-CN" w:bidi="ar"/>
              </w:rPr>
              <w:t>3</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农学院</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甜菜胞囊线虫生防真菌的筛选与鉴定</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龚玉洁</w:t>
            </w: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植保162</w:t>
            </w:r>
          </w:p>
        </w:tc>
        <w:tc>
          <w:tcPr>
            <w:tcW w:w="20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李克梅</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报告、论文</w:t>
            </w: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优秀</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农学院</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梭梭幼苗的高温胁迫适应性建立过程中的细胞凋亡特征分析</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薛源</w:t>
            </w: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生技162</w:t>
            </w:r>
          </w:p>
        </w:tc>
        <w:tc>
          <w:tcPr>
            <w:tcW w:w="20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王波</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报告</w:t>
            </w: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农学院</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海岛棉资源材料抗逆性的鉴定与评价</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李佳静</w:t>
            </w: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农学162</w:t>
            </w:r>
          </w:p>
        </w:tc>
        <w:tc>
          <w:tcPr>
            <w:tcW w:w="20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曲延英</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农学院</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海岛棉抗枯萎病相关基因实时荧光定量 PCR分析</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龙遗磊</w:t>
            </w: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种科152</w:t>
            </w:r>
          </w:p>
        </w:tc>
        <w:tc>
          <w:tcPr>
            <w:tcW w:w="20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邓晓娟</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报告</w:t>
            </w: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农学院</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玉米CKX4基因靶向突变位点的检测</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张旭铂</w:t>
            </w: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生技162</w:t>
            </w:r>
          </w:p>
        </w:tc>
        <w:tc>
          <w:tcPr>
            <w:tcW w:w="20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刘超</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农学院</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黄粉虫转化餐厨垃圾和尾菜转营养成分的测定及虫粪沙对不同土壤的改良作用</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张帅</w:t>
            </w: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植保162</w:t>
            </w:r>
          </w:p>
        </w:tc>
        <w:tc>
          <w:tcPr>
            <w:tcW w:w="20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马德英</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报告、论文</w:t>
            </w: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农学院</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农杆菌介导外源基因转化棉花对黄萎病抗性的研究</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李周博</w:t>
            </w: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植保162</w:t>
            </w:r>
          </w:p>
        </w:tc>
        <w:tc>
          <w:tcPr>
            <w:tcW w:w="20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顾爱星</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报告、论文</w:t>
            </w: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农学院</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新疆薰衣草种质资源遗传多样性的SRAP分析</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吕雪梅</w:t>
            </w: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农学162</w:t>
            </w:r>
          </w:p>
        </w:tc>
        <w:tc>
          <w:tcPr>
            <w:tcW w:w="20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苏秀娟</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报告、论文</w:t>
            </w: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农学院</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不同处理对棉花苗期立枯病抗病性的影响</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闫飞燕</w:t>
            </w: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种科162</w:t>
            </w:r>
          </w:p>
        </w:tc>
        <w:tc>
          <w:tcPr>
            <w:tcW w:w="20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赵强</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报告、论文</w:t>
            </w: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农学院</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深点食螨瓢虫的人工繁育及叶螨捕食性研究</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王云鹤</w:t>
            </w: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植保162</w:t>
            </w:r>
          </w:p>
        </w:tc>
        <w:tc>
          <w:tcPr>
            <w:tcW w:w="20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马德英</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报告、论文</w:t>
            </w: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优秀</w:t>
            </w:r>
          </w:p>
        </w:tc>
      </w:tr>
    </w:tbl>
    <w:p>
      <w:pPr>
        <w:snapToGrid w:val="0"/>
        <w:rPr>
          <w:rFonts w:hint="eastAsia" w:ascii="黑体" w:hAnsi="黑体" w:eastAsia="黑体" w:cs="黑体"/>
          <w:sz w:val="32"/>
          <w:szCs w:val="32"/>
          <w:lang w:val="en-US" w:eastAsia="zh-CN"/>
        </w:rPr>
      </w:pPr>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10C6B"/>
    <w:rsid w:val="10330889"/>
    <w:rsid w:val="79110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2020-01-08T04:39:00Z</dcterms:created>
  <dc:creator>ayxam</dc:creator>
  <cp:lastModifiedBy>Administrator</cp:lastModifiedBy>
  <dcterms:modified xsi:type="dcterms:W3CDTF">2020-07-03T05:40:05Z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